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448"/>
        </w:tabs>
        <w:adjustRightInd w:val="0"/>
        <w:snapToGrid w:val="0"/>
        <w:spacing w:before="312" w:beforeLines="100"/>
        <w:rPr>
          <w:rFonts w:ascii="Times New Roman" w:hAnsi="Times New Roman" w:cs="Times New Roman"/>
        </w:rPr>
      </w:pP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5"/>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auto"/>
          <w:sz w:val="18"/>
          <w:szCs w:val="18"/>
          <w:u w:val="none"/>
        </w:rPr>
        <w:fldChar w:fldCharType="begin"/>
      </w:r>
      <w:r>
        <w:rPr>
          <w:rFonts w:hint="eastAsia" w:ascii="Times New Roman" w:hAnsi="Times New Roman"/>
          <w:b/>
          <w:bCs/>
          <w:i/>
          <w:color w:val="auto"/>
          <w:sz w:val="18"/>
          <w:szCs w:val="18"/>
          <w:u w:val="none"/>
        </w:rPr>
        <w:instrText xml:space="preserve"> HYPERLINK "mailto:editorialoffice@rdodjournal.com" </w:instrText>
      </w:r>
      <w:r>
        <w:rPr>
          <w:rFonts w:hint="eastAsia" w:ascii="Times New Roman" w:hAnsi="Times New Roman"/>
          <w:b/>
          <w:bCs/>
          <w:i/>
          <w:color w:val="auto"/>
          <w:sz w:val="18"/>
          <w:szCs w:val="18"/>
          <w:u w:val="none"/>
        </w:rPr>
        <w:fldChar w:fldCharType="separate"/>
      </w:r>
      <w:r>
        <w:rPr>
          <w:rStyle w:val="14"/>
          <w:rFonts w:hint="eastAsia" w:ascii="Times New Roman" w:hAnsi="Times New Roman"/>
          <w:b/>
          <w:bCs/>
          <w:i/>
          <w:sz w:val="18"/>
          <w:szCs w:val="18"/>
        </w:rPr>
        <w:t>editorialoffice@rdodjournal.com</w:t>
      </w:r>
      <w:r>
        <w:rPr>
          <w:rFonts w:hint="eastAsia" w:ascii="Times New Roman" w:hAnsi="Times New Roman"/>
          <w:b/>
          <w:bCs/>
          <w:i/>
          <w:color w:val="auto"/>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4"/>
          <w:rFonts w:ascii="Times New Roman" w:hAnsi="Times New Roman" w:cs="Times New Roman"/>
          <w:b/>
          <w:bCs/>
          <w:i/>
          <w:iCs/>
          <w:color w:val="7F7F7F" w:themeColor="background1" w:themeShade="80"/>
          <w:sz w:val="18"/>
          <w:szCs w:val="18"/>
        </w:rPr>
        <w:t>http://www.wma.net/en/30publications/10policies/b3/</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4"/>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3" cstate="print"/>
                          <a:stretch>
                            <a:fillRect/>
                          </a:stretch>
                        </pic:blipFill>
                        <pic:spPr>
                          <a:xfrm>
                            <a:off x="0" y="0"/>
                            <a:ext cx="1884045" cy="141033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4"/>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7"/>
      <w:bookmarkStart w:id="12" w:name="OLE_LINK16"/>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3" w:name="OLE_LINK9"/>
      <w:bookmarkStart w:id="14" w:name="OLE_LINK8"/>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15"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15"/>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bookmarkEnd w:id="13"/>
    <w:bookmarkEnd w:id="14"/>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8" w:name="_GoBack"/>
    <w:bookmarkEnd w:id="18"/>
    <w:r>
      <w:rPr>
        <w:rFonts w:ascii="Times New Roman" w:hAnsi="Times New Roman" w:cs="Times New Roman"/>
        <w:snapToGrid w:val="0"/>
        <w:sz w:val="12"/>
        <w:szCs w:val="12"/>
      </w:rPr>
      <w:t xml:space="preserve">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bookmarkStart w:id="17" w:name="OLE_LINK7"/>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4"/>
        <w:rFonts w:ascii="Arial" w:hAnsi="Arial"/>
        <w:b/>
        <w:bCs/>
        <w:sz w:val="16"/>
        <w:szCs w:val="16"/>
        <w:u w:val="none"/>
      </w:rPr>
      <w:t>www.</w:t>
    </w:r>
    <w:r>
      <w:rPr>
        <w:rStyle w:val="14"/>
        <w:rFonts w:hint="eastAsia" w:ascii="Arial" w:hAnsi="Arial"/>
        <w:b/>
        <w:bCs/>
        <w:sz w:val="16"/>
        <w:szCs w:val="16"/>
        <w:u w:val="none"/>
        <w:lang w:val="en-US" w:eastAsia="zh-CN"/>
      </w:rPr>
      <w:t>rdod</w:t>
    </w:r>
    <w:r>
      <w:rPr>
        <w:rStyle w:val="14"/>
        <w:rFonts w:ascii="Arial" w:hAnsi="Arial"/>
        <w:b/>
        <w:bCs/>
        <w:sz w:val="16"/>
        <w:szCs w:val="16"/>
        <w:u w:val="none"/>
      </w:rPr>
      <w:t>journal.com</w:t>
    </w:r>
    <w:bookmarkEnd w:id="17"/>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 xml:space="preserve"> 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 xml:space="preserve"> Rare Dis Orphan Drugs J</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6" w:name="OLE_LINK5"/>
    <w:r>
      <w:rPr>
        <w:rFonts w:ascii="Times New Roman" w:hAnsi="Times New Roman" w:cs="Times New Roman"/>
        <w:sz w:val="16"/>
        <w:szCs w:val="16"/>
      </w:rPr>
      <w:pict>
        <v:shape id="文本框 4" o:spid="_x0000_s4097" o:spt="202" type="#_x0000_t202" style="position:absolute;left:0pt;margin-left:269.35pt;margin-top:-9.85pt;height:37.95pt;width:156.6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pPr>
                  <w:jc w:val="both"/>
                </w:pPr>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 xml:space="preserve">J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72A27"/>
    <w:rsid w:val="0019510B"/>
    <w:rsid w:val="00196F80"/>
    <w:rsid w:val="001A37D1"/>
    <w:rsid w:val="001B0020"/>
    <w:rsid w:val="00273491"/>
    <w:rsid w:val="003029EF"/>
    <w:rsid w:val="00331E76"/>
    <w:rsid w:val="003608FF"/>
    <w:rsid w:val="003B627D"/>
    <w:rsid w:val="00423880"/>
    <w:rsid w:val="004714F1"/>
    <w:rsid w:val="00497675"/>
    <w:rsid w:val="004F52CE"/>
    <w:rsid w:val="00551199"/>
    <w:rsid w:val="005570D9"/>
    <w:rsid w:val="006134A8"/>
    <w:rsid w:val="006164FC"/>
    <w:rsid w:val="00637595"/>
    <w:rsid w:val="00687FF0"/>
    <w:rsid w:val="007D1FD5"/>
    <w:rsid w:val="007F3C60"/>
    <w:rsid w:val="008075EB"/>
    <w:rsid w:val="00842C21"/>
    <w:rsid w:val="00895776"/>
    <w:rsid w:val="008A495C"/>
    <w:rsid w:val="00921419"/>
    <w:rsid w:val="00A37A37"/>
    <w:rsid w:val="00AE0CD0"/>
    <w:rsid w:val="00B42AC5"/>
    <w:rsid w:val="00B66F57"/>
    <w:rsid w:val="00BB3538"/>
    <w:rsid w:val="00C10DBA"/>
    <w:rsid w:val="00C17F9F"/>
    <w:rsid w:val="00C5076C"/>
    <w:rsid w:val="00C6365E"/>
    <w:rsid w:val="00CA2500"/>
    <w:rsid w:val="00D16246"/>
    <w:rsid w:val="00DF5C43"/>
    <w:rsid w:val="00E31605"/>
    <w:rsid w:val="00EA21CF"/>
    <w:rsid w:val="00EE548B"/>
    <w:rsid w:val="00F56741"/>
    <w:rsid w:val="00F94C82"/>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566C1"/>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804EC"/>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0C0257"/>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1519E9"/>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F32F6"/>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004DFF"/>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4CF1"/>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56B8F"/>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A71A8"/>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0D3A0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276A0"/>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2180D"/>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B4BA8"/>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45FF5"/>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2D7331"/>
    <w:rsid w:val="2F3E0E69"/>
    <w:rsid w:val="2F4B0EBF"/>
    <w:rsid w:val="2F4C3D79"/>
    <w:rsid w:val="2F5D6DB2"/>
    <w:rsid w:val="2F643B76"/>
    <w:rsid w:val="2F685035"/>
    <w:rsid w:val="2F697E02"/>
    <w:rsid w:val="2F751492"/>
    <w:rsid w:val="2F7E660B"/>
    <w:rsid w:val="2F8349E1"/>
    <w:rsid w:val="2F9E3F3B"/>
    <w:rsid w:val="2FA34F86"/>
    <w:rsid w:val="2FC71794"/>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535E8F"/>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130F3"/>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7752D"/>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381378"/>
    <w:rsid w:val="5048146A"/>
    <w:rsid w:val="504A0FED"/>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10FFF"/>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1326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3E5BBB"/>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62C86"/>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6756F"/>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37184"/>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5F3390B"/>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DD69A7"/>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1749BF"/>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4B0083"/>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BFF37EF"/>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qFormat/>
    <w:uiPriority w:val="0"/>
    <w:pPr>
      <w:jc w:val="left"/>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28">
    <w:name w:val="批注文字 字符"/>
    <w:basedOn w:val="11"/>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334172096"/>
        <c:axId val="334172672"/>
      </c:scatterChart>
      <c:valAx>
        <c:axId val="334172096"/>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172672"/>
        <c:crosses val="autoZero"/>
        <c:crossBetween val="midCat"/>
        <c:majorUnit val="5"/>
      </c:valAx>
      <c:valAx>
        <c:axId val="334172672"/>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172096"/>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2443</Words>
  <Characters>13931</Characters>
  <Lines>116</Lines>
  <Paragraphs>32</Paragraphs>
  <TotalTime>1</TotalTime>
  <ScaleCrop>false</ScaleCrop>
  <LinksUpToDate>false</LinksUpToDate>
  <CharactersWithSpaces>16342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2021-04-08T08:55:54Z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BCC6C954AEE44E74B1A2A55DA9953514</vt:lpwstr>
  </property>
</Properties>
</file>