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Original Article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bookmarkStart w:id="14" w:name="_GoBack"/>
      <w:bookmarkEnd w:id="14"/>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bookmarkStart w:id="2" w:name="OLE_LINK2"/>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bookmarkEnd w:id="2"/>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For any questions, you may contact th</w:t>
      </w:r>
      <w:r>
        <w:rPr>
          <w:rFonts w:ascii="Times New Roman" w:hAnsi="Times New Roman"/>
          <w:b/>
          <w:bCs/>
          <w:i/>
          <w:color w:val="7F7F7F" w:themeColor="background1" w:themeShade="80"/>
          <w:sz w:val="18"/>
          <w:szCs w:val="18"/>
        </w:rPr>
        <w:t xml:space="preserve">e </w:t>
      </w:r>
      <w:r>
        <w:rPr>
          <w:rFonts w:hint="eastAsia" w:ascii="Times New Roman" w:hAnsi="Times New Roman"/>
          <w:b/>
          <w:bCs/>
          <w:i/>
          <w:color w:val="7F7F7F" w:themeColor="background1" w:themeShade="80"/>
          <w:sz w:val="18"/>
          <w:szCs w:val="18"/>
          <w:highlight w:val="none"/>
          <w:u w:val="none"/>
        </w:rPr>
        <w:fldChar w:fldCharType="begin"/>
      </w:r>
      <w:r>
        <w:rPr>
          <w:rFonts w:hint="eastAsia" w:ascii="Times New Roman" w:hAnsi="Times New Roman"/>
          <w:b/>
          <w:bCs/>
          <w:i/>
          <w:color w:val="7F7F7F" w:themeColor="background1" w:themeShade="80"/>
          <w:sz w:val="18"/>
          <w:szCs w:val="18"/>
          <w:highlight w:val="none"/>
          <w:u w:val="none"/>
        </w:rPr>
        <w:instrText xml:space="preserve"> HYPERLINK "mailto:editorialoffice@rdodjournal.com" </w:instrText>
      </w:r>
      <w:r>
        <w:rPr>
          <w:rFonts w:hint="eastAsia" w:ascii="Times New Roman" w:hAnsi="Times New Roman"/>
          <w:b/>
          <w:bCs/>
          <w:i/>
          <w:color w:val="7F7F7F" w:themeColor="background1" w:themeShade="80"/>
          <w:sz w:val="18"/>
          <w:szCs w:val="18"/>
          <w:highlight w:val="none"/>
          <w:u w:val="none"/>
        </w:rPr>
        <w:fldChar w:fldCharType="separate"/>
      </w:r>
      <w:r>
        <w:rPr>
          <w:rStyle w:val="14"/>
          <w:rFonts w:hint="eastAsia" w:ascii="Times New Roman" w:hAnsi="Times New Roman"/>
          <w:b/>
          <w:bCs/>
          <w:i/>
          <w:sz w:val="18"/>
          <w:szCs w:val="18"/>
          <w:highlight w:val="none"/>
        </w:rPr>
        <w:t>editorialoffice</w:t>
      </w:r>
      <w:r>
        <w:rPr>
          <w:rFonts w:hint="eastAsia" w:ascii="Times New Roman" w:hAnsi="Times New Roman"/>
          <w:b/>
          <w:bCs/>
          <w:i/>
          <w:color w:val="7F7F7F" w:themeColor="background1" w:themeShade="80"/>
          <w:sz w:val="18"/>
          <w:szCs w:val="18"/>
          <w:highlight w:val="none"/>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bookmarkStart w:id="3" w:name="OLE_LINK3"/>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bookmarkEnd w:id="3"/>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4"/>
          <w:rFonts w:ascii="Times New Roman" w:hAnsi="Times New Roman" w:cs="Times New Roman"/>
          <w:b/>
          <w:bCs/>
          <w:i/>
          <w:iCs/>
          <w:color w:val="7F7F7F" w:themeColor="background1" w:themeShade="80"/>
          <w:sz w:val="18"/>
          <w:szCs w:val="18"/>
        </w:rPr>
        <w:t>http://www.wma.net/en/30publications/10policies/b3/</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4"/>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5"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50"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30"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3"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vAlign w:val="center"/>
          </w:tcPr>
          <w:p>
            <w:pPr>
              <w:pStyle w:val="21"/>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5"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0"/>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0"/>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6350" cy="1441450"/>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0"/>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7"/>
      <w:bookmarkStart w:id="11" w:name="OLE_LINK16"/>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12"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12"/>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Rare Dis Orphan Drugs</w:t>
    </w:r>
    <w:r>
      <w:rPr>
        <w:rFonts w:hint="eastAsia" w:ascii="Times New Roman" w:hAnsi="Times New Roman" w:cs="Times New Roman"/>
        <w:i/>
        <w:iCs/>
        <w:sz w:val="14"/>
        <w:szCs w:val="14"/>
        <w:lang w:val="en-US" w:eastAsia="zh-CN"/>
      </w:rPr>
      <w:t xml:space="preserve">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Rare Dis Orphan Drugs</w:t>
    </w:r>
    <w:r>
      <w:rPr>
        <w:rFonts w:ascii="Times New Roman" w:hAnsi="Times New Roman" w:cs="Times New Roman"/>
        <w:i/>
        <w:iCs/>
        <w:sz w:val="14"/>
        <w:szCs w:val="14"/>
      </w:rPr>
      <w:t xml:space="preserve"> </w:t>
    </w:r>
    <w:r>
      <w:rPr>
        <w:rFonts w:hint="eastAsia" w:ascii="Times New Roman" w:hAnsi="Times New Roman" w:cs="Times New Roman"/>
        <w:i/>
        <w:iCs/>
        <w:sz w:val="14"/>
        <w:szCs w:val="14"/>
        <w:lang w:val="en-US" w:eastAsia="zh-CN"/>
      </w:rPr>
      <w:t xml:space="preserve">J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w:rPr>
        <w:rFonts w:ascii="Times New Roman" w:hAnsi="Times New Roman" w:cs="Times New Roman"/>
        <w:sz w:val="16"/>
        <w:szCs w:val="16"/>
      </w:rPr>
      <w:pict>
        <v:shape id="文本框 4" o:spid="_x0000_s4097" o:spt="202" type="#_x0000_t202" style="position:absolute;left:0pt;margin-left:269.35pt;margin-top:-8.35pt;height:37.15pt;width:155.85pt;z-index:251676672;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 xml:space="preserve">J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3E1"/>
    <w:rsid w:val="000178BA"/>
    <w:rsid w:val="00030B75"/>
    <w:rsid w:val="0003284A"/>
    <w:rsid w:val="000D5EBD"/>
    <w:rsid w:val="0011319C"/>
    <w:rsid w:val="00172A27"/>
    <w:rsid w:val="0019510B"/>
    <w:rsid w:val="0027022E"/>
    <w:rsid w:val="00273491"/>
    <w:rsid w:val="00331E76"/>
    <w:rsid w:val="003608FF"/>
    <w:rsid w:val="003B627D"/>
    <w:rsid w:val="00423880"/>
    <w:rsid w:val="00436667"/>
    <w:rsid w:val="00497675"/>
    <w:rsid w:val="004A7649"/>
    <w:rsid w:val="004F52CE"/>
    <w:rsid w:val="00542A7F"/>
    <w:rsid w:val="005570D9"/>
    <w:rsid w:val="00631D61"/>
    <w:rsid w:val="00637595"/>
    <w:rsid w:val="006A7A6A"/>
    <w:rsid w:val="00714616"/>
    <w:rsid w:val="007D1FD5"/>
    <w:rsid w:val="008075EB"/>
    <w:rsid w:val="00842C21"/>
    <w:rsid w:val="008A495C"/>
    <w:rsid w:val="00921419"/>
    <w:rsid w:val="00A37A37"/>
    <w:rsid w:val="00A569F4"/>
    <w:rsid w:val="00B16A86"/>
    <w:rsid w:val="00B23ECB"/>
    <w:rsid w:val="00B26CFE"/>
    <w:rsid w:val="00B42AC5"/>
    <w:rsid w:val="00B74EF5"/>
    <w:rsid w:val="00BB3538"/>
    <w:rsid w:val="00C5076C"/>
    <w:rsid w:val="00C6365E"/>
    <w:rsid w:val="00C8045F"/>
    <w:rsid w:val="00CA2500"/>
    <w:rsid w:val="00D16246"/>
    <w:rsid w:val="00DF5C43"/>
    <w:rsid w:val="00E258F5"/>
    <w:rsid w:val="00E31605"/>
    <w:rsid w:val="00E953A2"/>
    <w:rsid w:val="00EA21CF"/>
    <w:rsid w:val="00EC387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459E8"/>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3FF3C72"/>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3FD0850"/>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3A341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16D23"/>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3812"/>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413B9"/>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032C6A"/>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3735552"/>
        <c:axId val="323939136"/>
      </c:barChart>
      <c:catAx>
        <c:axId val="2437355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939136"/>
        <c:crosses val="autoZero"/>
        <c:auto val="1"/>
        <c:lblAlgn val="ctr"/>
        <c:lblOffset val="100"/>
        <c:tickLblSkip val="1"/>
        <c:noMultiLvlLbl val="0"/>
      </c:catAx>
      <c:valAx>
        <c:axId val="3239391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73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2581</Words>
  <Characters>14718</Characters>
  <Lines>122</Lines>
  <Paragraphs>34</Paragraphs>
  <TotalTime>45</TotalTime>
  <ScaleCrop>false</ScaleCrop>
  <LinksUpToDate>false</LinksUpToDate>
  <CharactersWithSpaces>17265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2021-02-18T03:54:12Z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